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B9A" w:rsidRPr="00CD50BC" w:rsidRDefault="00543B9A" w:rsidP="00543B9A">
      <w:pPr>
        <w:rPr>
          <w:rFonts w:hint="cs"/>
          <w:sz w:val="28"/>
          <w:szCs w:val="28"/>
          <w:rtl/>
        </w:rPr>
      </w:pPr>
      <w:r w:rsidRPr="00CD50BC">
        <w:rPr>
          <w:rFonts w:hint="cs"/>
          <w:sz w:val="28"/>
          <w:szCs w:val="28"/>
          <w:rtl/>
        </w:rPr>
        <w:t>میکروسیلیس :کاهش نفوذ پذیری بتن و افزایش دوام بتن</w:t>
      </w:r>
    </w:p>
    <w:p w:rsidR="00543B9A" w:rsidRPr="00CD50BC" w:rsidRDefault="00543B9A" w:rsidP="00543B9A">
      <w:pPr>
        <w:rPr>
          <w:rFonts w:hint="cs"/>
          <w:sz w:val="28"/>
          <w:szCs w:val="28"/>
          <w:rtl/>
        </w:rPr>
      </w:pPr>
      <w:r w:rsidRPr="00CD50BC">
        <w:rPr>
          <w:rFonts w:hint="cs"/>
          <w:sz w:val="28"/>
          <w:szCs w:val="28"/>
          <w:rtl/>
        </w:rPr>
        <w:t>مصالح مصرفی :مصالح مصرفی استفاده دشده در این تحقیق عبارتنداز:</w:t>
      </w:r>
    </w:p>
    <w:p w:rsidR="00543B9A" w:rsidRPr="00CD50BC" w:rsidRDefault="00543B9A">
      <w:pPr>
        <w:rPr>
          <w:rFonts w:hint="cs"/>
          <w:sz w:val="28"/>
          <w:szCs w:val="28"/>
          <w:rtl/>
        </w:rPr>
      </w:pPr>
      <w:r w:rsidRPr="00CD50BC">
        <w:rPr>
          <w:rFonts w:hint="cs"/>
          <w:sz w:val="28"/>
          <w:szCs w:val="28"/>
          <w:rtl/>
        </w:rPr>
        <w:t xml:space="preserve">سیمان پرتلند معمولی </w:t>
      </w:r>
      <w:r w:rsidRPr="00CD50BC">
        <w:rPr>
          <w:sz w:val="28"/>
          <w:szCs w:val="28"/>
          <w:rtl/>
        </w:rPr>
        <w:t>–</w:t>
      </w:r>
      <w:r w:rsidRPr="00CD50BC">
        <w:rPr>
          <w:rFonts w:hint="cs"/>
          <w:sz w:val="28"/>
          <w:szCs w:val="28"/>
          <w:rtl/>
        </w:rPr>
        <w:t xml:space="preserve"> میکروسیلیس </w:t>
      </w:r>
      <w:r w:rsidRPr="00CD50BC">
        <w:rPr>
          <w:sz w:val="28"/>
          <w:szCs w:val="28"/>
          <w:rtl/>
        </w:rPr>
        <w:t>–</w:t>
      </w:r>
      <w:r w:rsidRPr="00CD50BC">
        <w:rPr>
          <w:rFonts w:hint="cs"/>
          <w:sz w:val="28"/>
          <w:szCs w:val="28"/>
          <w:rtl/>
        </w:rPr>
        <w:t xml:space="preserve"> ماسه رودخانه ای طبیعی </w:t>
      </w:r>
      <w:r w:rsidRPr="00CD50BC">
        <w:rPr>
          <w:sz w:val="28"/>
          <w:szCs w:val="28"/>
          <w:rtl/>
        </w:rPr>
        <w:t>–</w:t>
      </w:r>
      <w:r w:rsidRPr="00CD50BC">
        <w:rPr>
          <w:rFonts w:hint="cs"/>
          <w:sz w:val="28"/>
          <w:szCs w:val="28"/>
          <w:rtl/>
        </w:rPr>
        <w:t xml:space="preserve"> شن کوارتزی با حداکثر اندازه 15</w:t>
      </w:r>
      <w:r w:rsidRPr="00CD50BC">
        <w:rPr>
          <w:sz w:val="28"/>
          <w:szCs w:val="28"/>
        </w:rPr>
        <w:t>mm</w:t>
      </w:r>
      <w:r w:rsidRPr="00CD50BC">
        <w:rPr>
          <w:rFonts w:hint="cs"/>
          <w:sz w:val="28"/>
          <w:szCs w:val="28"/>
          <w:rtl/>
        </w:rPr>
        <w:t xml:space="preserve"> و روان کننده ای از جنس پلی سولفات وینیل </w:t>
      </w:r>
    </w:p>
    <w:p w:rsidR="00543B9A" w:rsidRPr="00CD50BC" w:rsidRDefault="00543B9A">
      <w:pPr>
        <w:rPr>
          <w:rFonts w:hint="cs"/>
          <w:sz w:val="28"/>
          <w:szCs w:val="28"/>
          <w:rtl/>
        </w:rPr>
      </w:pPr>
      <w:r w:rsidRPr="00CD50BC">
        <w:rPr>
          <w:rFonts w:hint="cs"/>
          <w:sz w:val="28"/>
          <w:szCs w:val="28"/>
          <w:rtl/>
        </w:rPr>
        <w:t>نسبت اختلاط بتن های ساخته شده و مقاومت 28 روزه به شرح زیر :</w:t>
      </w:r>
    </w:p>
    <w:tbl>
      <w:tblPr>
        <w:tblStyle w:val="TableGrid"/>
        <w:bidiVisual/>
        <w:tblW w:w="0" w:type="auto"/>
        <w:tblLook w:val="04A0" w:firstRow="1" w:lastRow="0" w:firstColumn="1" w:lastColumn="0" w:noHBand="0" w:noVBand="1"/>
      </w:tblPr>
      <w:tblGrid>
        <w:gridCol w:w="1848"/>
        <w:gridCol w:w="1848"/>
        <w:gridCol w:w="1848"/>
        <w:gridCol w:w="1849"/>
        <w:gridCol w:w="1849"/>
      </w:tblGrid>
      <w:tr w:rsidR="00543B9A" w:rsidTr="001A18CD">
        <w:trPr>
          <w:trHeight w:val="562"/>
        </w:trPr>
        <w:tc>
          <w:tcPr>
            <w:tcW w:w="1848" w:type="dxa"/>
            <w:shd w:val="clear" w:color="auto" w:fill="auto"/>
          </w:tcPr>
          <w:p w:rsidR="00543B9A" w:rsidRDefault="00543B9A" w:rsidP="00543B9A">
            <w:pPr>
              <w:jc w:val="center"/>
              <w:rPr>
                <w:rFonts w:hint="cs"/>
                <w:rtl/>
              </w:rPr>
            </w:pPr>
            <w:r>
              <w:rPr>
                <w:rFonts w:hint="cs"/>
                <w:rtl/>
              </w:rPr>
              <w:t>بتن با 15 % میکروسیلیس</w:t>
            </w:r>
          </w:p>
        </w:tc>
        <w:tc>
          <w:tcPr>
            <w:tcW w:w="1848" w:type="dxa"/>
            <w:shd w:val="clear" w:color="auto" w:fill="auto"/>
          </w:tcPr>
          <w:p w:rsidR="00543B9A" w:rsidRDefault="00543B9A" w:rsidP="00543B9A">
            <w:pPr>
              <w:jc w:val="center"/>
              <w:rPr>
                <w:rFonts w:hint="cs"/>
                <w:rtl/>
              </w:rPr>
            </w:pPr>
            <w:r>
              <w:rPr>
                <w:rFonts w:hint="cs"/>
                <w:rtl/>
              </w:rPr>
              <w:t>بتن با 10% میکروسیلیس</w:t>
            </w:r>
          </w:p>
        </w:tc>
        <w:tc>
          <w:tcPr>
            <w:tcW w:w="1848" w:type="dxa"/>
            <w:shd w:val="clear" w:color="auto" w:fill="auto"/>
          </w:tcPr>
          <w:p w:rsidR="00543B9A" w:rsidRDefault="00543B9A" w:rsidP="00543B9A">
            <w:pPr>
              <w:jc w:val="center"/>
              <w:rPr>
                <w:rFonts w:hint="cs"/>
                <w:rtl/>
              </w:rPr>
            </w:pPr>
            <w:r>
              <w:rPr>
                <w:rFonts w:hint="cs"/>
                <w:rtl/>
              </w:rPr>
              <w:t>بتن با 5% میکروسیلیس</w:t>
            </w:r>
          </w:p>
        </w:tc>
        <w:tc>
          <w:tcPr>
            <w:tcW w:w="1849" w:type="dxa"/>
            <w:shd w:val="clear" w:color="auto" w:fill="auto"/>
          </w:tcPr>
          <w:p w:rsidR="00543B9A" w:rsidRDefault="00543B9A">
            <w:pPr>
              <w:rPr>
                <w:rFonts w:hint="cs"/>
                <w:rtl/>
              </w:rPr>
            </w:pPr>
            <w:r>
              <w:rPr>
                <w:rFonts w:hint="cs"/>
                <w:rtl/>
              </w:rPr>
              <w:t>بتن بدون میکروسیلیس</w:t>
            </w:r>
          </w:p>
          <w:p w:rsidR="00CD50BC" w:rsidRDefault="00CD50BC">
            <w:pPr>
              <w:rPr>
                <w:rFonts w:hint="cs"/>
                <w:rtl/>
              </w:rPr>
            </w:pPr>
          </w:p>
        </w:tc>
        <w:tc>
          <w:tcPr>
            <w:tcW w:w="1849" w:type="dxa"/>
            <w:shd w:val="clear" w:color="auto" w:fill="auto"/>
          </w:tcPr>
          <w:p w:rsidR="00CD50BC" w:rsidRDefault="00CD50BC" w:rsidP="00543B9A">
            <w:pPr>
              <w:jc w:val="center"/>
              <w:rPr>
                <w:rFonts w:hint="cs"/>
                <w:rtl/>
              </w:rPr>
            </w:pPr>
          </w:p>
          <w:p w:rsidR="00CD50BC" w:rsidRDefault="00CD50BC" w:rsidP="00543B9A">
            <w:pPr>
              <w:jc w:val="center"/>
              <w:rPr>
                <w:rFonts w:hint="cs"/>
                <w:rtl/>
              </w:rPr>
            </w:pPr>
          </w:p>
          <w:p w:rsidR="00543B9A" w:rsidRDefault="00543B9A" w:rsidP="00543B9A">
            <w:pPr>
              <w:jc w:val="center"/>
              <w:rPr>
                <w:rFonts w:hint="cs"/>
                <w:rtl/>
              </w:rPr>
            </w:pPr>
            <w:r>
              <w:rPr>
                <w:rFonts w:hint="cs"/>
                <w:rtl/>
              </w:rPr>
              <w:t>مخلوط</w:t>
            </w:r>
          </w:p>
        </w:tc>
      </w:tr>
      <w:tr w:rsidR="00543B9A" w:rsidTr="001A18CD">
        <w:trPr>
          <w:trHeight w:val="603"/>
        </w:trPr>
        <w:tc>
          <w:tcPr>
            <w:tcW w:w="1848"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382.5</w:t>
            </w:r>
          </w:p>
        </w:tc>
        <w:tc>
          <w:tcPr>
            <w:tcW w:w="1848"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405</w:t>
            </w:r>
          </w:p>
        </w:tc>
        <w:tc>
          <w:tcPr>
            <w:tcW w:w="1848"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427.5</w:t>
            </w:r>
          </w:p>
        </w:tc>
        <w:tc>
          <w:tcPr>
            <w:tcW w:w="1849"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450</w:t>
            </w:r>
          </w:p>
        </w:tc>
        <w:tc>
          <w:tcPr>
            <w:tcW w:w="1849" w:type="dxa"/>
            <w:shd w:val="clear" w:color="auto" w:fill="auto"/>
          </w:tcPr>
          <w:p w:rsidR="00CD50BC" w:rsidRDefault="00CD50BC" w:rsidP="00CD50BC">
            <w:pPr>
              <w:jc w:val="center"/>
              <w:rPr>
                <w:rFonts w:hint="cs"/>
                <w:rtl/>
              </w:rPr>
            </w:pPr>
          </w:p>
          <w:p w:rsidR="00CD50BC" w:rsidRDefault="00CD50BC" w:rsidP="00CD50BC">
            <w:pPr>
              <w:jc w:val="center"/>
              <w:rPr>
                <w:rFonts w:hint="cs"/>
                <w:rtl/>
              </w:rPr>
            </w:pPr>
            <w:r>
              <w:rPr>
                <w:rFonts w:hint="cs"/>
                <w:rtl/>
              </w:rPr>
              <w:t xml:space="preserve">سیمان </w:t>
            </w:r>
            <w:r>
              <w:t>kg/m3</w:t>
            </w:r>
          </w:p>
          <w:p w:rsidR="00CD50BC" w:rsidRDefault="00CD50BC" w:rsidP="00CD50BC">
            <w:pPr>
              <w:jc w:val="center"/>
            </w:pPr>
          </w:p>
        </w:tc>
      </w:tr>
      <w:tr w:rsidR="00543B9A" w:rsidTr="001A18CD">
        <w:trPr>
          <w:trHeight w:val="603"/>
        </w:trPr>
        <w:tc>
          <w:tcPr>
            <w:tcW w:w="1848"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67.5</w:t>
            </w:r>
          </w:p>
        </w:tc>
        <w:tc>
          <w:tcPr>
            <w:tcW w:w="1848"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45</w:t>
            </w:r>
          </w:p>
        </w:tc>
        <w:tc>
          <w:tcPr>
            <w:tcW w:w="1848" w:type="dxa"/>
            <w:shd w:val="clear" w:color="auto" w:fill="auto"/>
          </w:tcPr>
          <w:p w:rsidR="00CD50BC" w:rsidRDefault="00CD50BC" w:rsidP="00204A2C">
            <w:pPr>
              <w:jc w:val="center"/>
              <w:rPr>
                <w:rFonts w:hint="cs"/>
                <w:rtl/>
              </w:rPr>
            </w:pPr>
          </w:p>
          <w:p w:rsidR="00CD50BC" w:rsidRDefault="00CD50BC" w:rsidP="00204A2C">
            <w:pPr>
              <w:jc w:val="center"/>
              <w:rPr>
                <w:rFonts w:hint="cs"/>
                <w:rtl/>
              </w:rPr>
            </w:pPr>
            <w:r>
              <w:rPr>
                <w:rFonts w:hint="cs"/>
                <w:rtl/>
              </w:rPr>
              <w:t>22.5</w:t>
            </w:r>
          </w:p>
        </w:tc>
        <w:tc>
          <w:tcPr>
            <w:tcW w:w="1849" w:type="dxa"/>
            <w:shd w:val="clear" w:color="auto" w:fill="auto"/>
          </w:tcPr>
          <w:p w:rsidR="00543B9A" w:rsidRDefault="00543B9A" w:rsidP="00204A2C">
            <w:pPr>
              <w:jc w:val="center"/>
              <w:rPr>
                <w:rFonts w:hint="cs"/>
                <w:rtl/>
              </w:rPr>
            </w:pPr>
          </w:p>
        </w:tc>
        <w:tc>
          <w:tcPr>
            <w:tcW w:w="1849" w:type="dxa"/>
            <w:shd w:val="clear" w:color="auto" w:fill="auto"/>
          </w:tcPr>
          <w:p w:rsidR="00543B9A" w:rsidRDefault="00543B9A" w:rsidP="00CD50BC">
            <w:pPr>
              <w:jc w:val="center"/>
              <w:rPr>
                <w:rFonts w:hint="cs"/>
                <w:rtl/>
              </w:rPr>
            </w:pPr>
          </w:p>
          <w:p w:rsidR="00CD50BC" w:rsidRDefault="00CD50BC" w:rsidP="00CD50BC">
            <w:pPr>
              <w:jc w:val="center"/>
              <w:rPr>
                <w:rFonts w:hint="cs"/>
                <w:rtl/>
              </w:rPr>
            </w:pPr>
            <w:r>
              <w:rPr>
                <w:rFonts w:hint="cs"/>
                <w:rtl/>
              </w:rPr>
              <w:t>میکروسیلیس</w:t>
            </w:r>
            <w:r w:rsidR="00204A2C">
              <w:t xml:space="preserve"> </w:t>
            </w:r>
            <w:r w:rsidR="00204A2C">
              <w:t>kg/m3</w:t>
            </w:r>
          </w:p>
          <w:p w:rsidR="00CD50BC" w:rsidRDefault="00CD50BC" w:rsidP="00CD50BC">
            <w:pPr>
              <w:jc w:val="center"/>
            </w:pPr>
          </w:p>
        </w:tc>
      </w:tr>
      <w:tr w:rsidR="00543B9A" w:rsidTr="001A18CD">
        <w:trPr>
          <w:trHeight w:val="603"/>
        </w:trPr>
        <w:tc>
          <w:tcPr>
            <w:tcW w:w="1848"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1125</w:t>
            </w:r>
          </w:p>
        </w:tc>
        <w:tc>
          <w:tcPr>
            <w:tcW w:w="1848"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1125</w:t>
            </w:r>
          </w:p>
        </w:tc>
        <w:tc>
          <w:tcPr>
            <w:tcW w:w="1848"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1125</w:t>
            </w:r>
          </w:p>
        </w:tc>
        <w:tc>
          <w:tcPr>
            <w:tcW w:w="1849"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1125</w:t>
            </w:r>
          </w:p>
        </w:tc>
        <w:tc>
          <w:tcPr>
            <w:tcW w:w="1849" w:type="dxa"/>
            <w:shd w:val="clear" w:color="auto" w:fill="auto"/>
          </w:tcPr>
          <w:p w:rsidR="00543B9A" w:rsidRDefault="00543B9A" w:rsidP="00CD50BC">
            <w:pPr>
              <w:jc w:val="center"/>
              <w:rPr>
                <w:rFonts w:hint="cs"/>
                <w:rtl/>
              </w:rPr>
            </w:pPr>
          </w:p>
          <w:p w:rsidR="00CD50BC" w:rsidRDefault="00CD50BC" w:rsidP="00CD50BC">
            <w:pPr>
              <w:jc w:val="center"/>
              <w:rPr>
                <w:rFonts w:hint="cs"/>
                <w:rtl/>
              </w:rPr>
            </w:pPr>
            <w:r>
              <w:rPr>
                <w:rFonts w:hint="cs"/>
                <w:rtl/>
              </w:rPr>
              <w:t>شن</w:t>
            </w:r>
            <w:r w:rsidR="00204A2C">
              <w:t xml:space="preserve"> </w:t>
            </w:r>
            <w:r w:rsidR="00204A2C">
              <w:t>kg/m3</w:t>
            </w:r>
          </w:p>
          <w:p w:rsidR="00CD50BC" w:rsidRDefault="00CD50BC" w:rsidP="00CD50BC">
            <w:pPr>
              <w:jc w:val="center"/>
              <w:rPr>
                <w:rFonts w:hint="cs"/>
                <w:rtl/>
              </w:rPr>
            </w:pPr>
          </w:p>
        </w:tc>
      </w:tr>
      <w:tr w:rsidR="00543B9A" w:rsidTr="001A18CD">
        <w:trPr>
          <w:trHeight w:val="562"/>
        </w:trPr>
        <w:tc>
          <w:tcPr>
            <w:tcW w:w="1848"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675</w:t>
            </w:r>
          </w:p>
        </w:tc>
        <w:tc>
          <w:tcPr>
            <w:tcW w:w="1848"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675</w:t>
            </w:r>
          </w:p>
        </w:tc>
        <w:tc>
          <w:tcPr>
            <w:tcW w:w="1848"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675</w:t>
            </w:r>
          </w:p>
        </w:tc>
        <w:tc>
          <w:tcPr>
            <w:tcW w:w="1849"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675</w:t>
            </w:r>
          </w:p>
        </w:tc>
        <w:tc>
          <w:tcPr>
            <w:tcW w:w="1849" w:type="dxa"/>
            <w:shd w:val="clear" w:color="auto" w:fill="auto"/>
          </w:tcPr>
          <w:p w:rsidR="00CD50BC" w:rsidRDefault="00CD50BC" w:rsidP="00CD50BC">
            <w:pPr>
              <w:jc w:val="center"/>
              <w:rPr>
                <w:rFonts w:hint="cs"/>
                <w:rtl/>
              </w:rPr>
            </w:pPr>
          </w:p>
          <w:p w:rsidR="00CD50BC" w:rsidRDefault="00CD50BC" w:rsidP="00CD50BC">
            <w:pPr>
              <w:jc w:val="center"/>
              <w:rPr>
                <w:rFonts w:hint="cs"/>
                <w:rtl/>
              </w:rPr>
            </w:pPr>
            <w:r>
              <w:rPr>
                <w:rFonts w:hint="cs"/>
                <w:rtl/>
              </w:rPr>
              <w:t>ماسه</w:t>
            </w:r>
            <w:r w:rsidR="00204A2C">
              <w:t xml:space="preserve"> </w:t>
            </w:r>
            <w:r w:rsidR="00204A2C">
              <w:t>kg/m3</w:t>
            </w:r>
          </w:p>
          <w:p w:rsidR="00CD50BC" w:rsidRDefault="00CD50BC" w:rsidP="00CD50BC">
            <w:pPr>
              <w:jc w:val="center"/>
              <w:rPr>
                <w:rFonts w:hint="cs"/>
                <w:rtl/>
              </w:rPr>
            </w:pPr>
          </w:p>
        </w:tc>
      </w:tr>
      <w:tr w:rsidR="00543B9A" w:rsidTr="001A18CD">
        <w:trPr>
          <w:trHeight w:val="603"/>
        </w:trPr>
        <w:tc>
          <w:tcPr>
            <w:tcW w:w="1848"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126</w:t>
            </w:r>
          </w:p>
        </w:tc>
        <w:tc>
          <w:tcPr>
            <w:tcW w:w="1848"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126</w:t>
            </w:r>
          </w:p>
          <w:p w:rsidR="00CD50BC" w:rsidRDefault="00CD50BC" w:rsidP="00204A2C">
            <w:pPr>
              <w:jc w:val="center"/>
              <w:rPr>
                <w:rFonts w:hint="cs"/>
                <w:rtl/>
              </w:rPr>
            </w:pPr>
          </w:p>
        </w:tc>
        <w:tc>
          <w:tcPr>
            <w:tcW w:w="1848"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126</w:t>
            </w:r>
          </w:p>
        </w:tc>
        <w:tc>
          <w:tcPr>
            <w:tcW w:w="1849"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126</w:t>
            </w:r>
          </w:p>
        </w:tc>
        <w:tc>
          <w:tcPr>
            <w:tcW w:w="1849" w:type="dxa"/>
            <w:shd w:val="clear" w:color="auto" w:fill="auto"/>
          </w:tcPr>
          <w:p w:rsidR="00543B9A" w:rsidRDefault="00204A2C" w:rsidP="00CD50BC">
            <w:pPr>
              <w:jc w:val="center"/>
              <w:rPr>
                <w:rFonts w:hint="cs"/>
                <w:rtl/>
              </w:rPr>
            </w:pPr>
            <w:r>
              <w:t>kg/m3</w:t>
            </w:r>
          </w:p>
          <w:p w:rsidR="00CD50BC" w:rsidRDefault="00CD50BC" w:rsidP="00CD50BC">
            <w:pPr>
              <w:jc w:val="center"/>
              <w:rPr>
                <w:rFonts w:hint="cs"/>
                <w:rtl/>
              </w:rPr>
            </w:pPr>
            <w:r>
              <w:rPr>
                <w:rFonts w:hint="cs"/>
                <w:rtl/>
              </w:rPr>
              <w:t>اب</w:t>
            </w:r>
          </w:p>
          <w:p w:rsidR="00CD50BC" w:rsidRDefault="00CD50BC" w:rsidP="00CD50BC">
            <w:pPr>
              <w:jc w:val="center"/>
              <w:rPr>
                <w:rFonts w:hint="cs"/>
                <w:rtl/>
              </w:rPr>
            </w:pPr>
          </w:p>
        </w:tc>
      </w:tr>
      <w:tr w:rsidR="00543B9A" w:rsidTr="001A18CD">
        <w:trPr>
          <w:trHeight w:val="603"/>
        </w:trPr>
        <w:tc>
          <w:tcPr>
            <w:tcW w:w="1848"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0.28</w:t>
            </w:r>
          </w:p>
        </w:tc>
        <w:tc>
          <w:tcPr>
            <w:tcW w:w="1848"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0.28</w:t>
            </w:r>
          </w:p>
        </w:tc>
        <w:tc>
          <w:tcPr>
            <w:tcW w:w="1848"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0.28</w:t>
            </w:r>
          </w:p>
        </w:tc>
        <w:tc>
          <w:tcPr>
            <w:tcW w:w="1849"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0.28</w:t>
            </w:r>
          </w:p>
        </w:tc>
        <w:tc>
          <w:tcPr>
            <w:tcW w:w="1849" w:type="dxa"/>
            <w:shd w:val="clear" w:color="auto" w:fill="auto"/>
          </w:tcPr>
          <w:p w:rsidR="00543B9A" w:rsidRDefault="00543B9A" w:rsidP="00CD50BC">
            <w:pPr>
              <w:jc w:val="center"/>
              <w:rPr>
                <w:rFonts w:hint="cs"/>
                <w:rtl/>
              </w:rPr>
            </w:pPr>
          </w:p>
          <w:p w:rsidR="00CD50BC" w:rsidRDefault="00CD50BC" w:rsidP="00CD50BC">
            <w:pPr>
              <w:jc w:val="center"/>
              <w:rPr>
                <w:rFonts w:hint="cs"/>
                <w:rtl/>
              </w:rPr>
            </w:pPr>
            <w:r>
              <w:rPr>
                <w:rFonts w:hint="cs"/>
                <w:rtl/>
              </w:rPr>
              <w:t>نسبت اب به مصالح</w:t>
            </w:r>
          </w:p>
          <w:p w:rsidR="00CD50BC" w:rsidRDefault="00CD50BC" w:rsidP="00CD50BC">
            <w:pPr>
              <w:jc w:val="center"/>
              <w:rPr>
                <w:rFonts w:hint="cs"/>
                <w:rtl/>
              </w:rPr>
            </w:pPr>
          </w:p>
        </w:tc>
      </w:tr>
      <w:tr w:rsidR="00543B9A" w:rsidTr="001A18CD">
        <w:trPr>
          <w:trHeight w:val="562"/>
        </w:trPr>
        <w:tc>
          <w:tcPr>
            <w:tcW w:w="1848"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14</w:t>
            </w:r>
          </w:p>
        </w:tc>
        <w:tc>
          <w:tcPr>
            <w:tcW w:w="1848"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14</w:t>
            </w:r>
          </w:p>
        </w:tc>
        <w:tc>
          <w:tcPr>
            <w:tcW w:w="1848"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14</w:t>
            </w:r>
          </w:p>
        </w:tc>
        <w:tc>
          <w:tcPr>
            <w:tcW w:w="1849" w:type="dxa"/>
            <w:shd w:val="clear" w:color="auto" w:fill="auto"/>
          </w:tcPr>
          <w:p w:rsidR="00543B9A" w:rsidRDefault="00543B9A" w:rsidP="00204A2C">
            <w:pPr>
              <w:jc w:val="center"/>
              <w:rPr>
                <w:rFonts w:hint="cs"/>
                <w:rtl/>
              </w:rPr>
            </w:pPr>
          </w:p>
          <w:p w:rsidR="00CD50BC" w:rsidRDefault="00CD50BC" w:rsidP="00204A2C">
            <w:pPr>
              <w:jc w:val="center"/>
              <w:rPr>
                <w:rFonts w:hint="cs"/>
                <w:rtl/>
              </w:rPr>
            </w:pPr>
            <w:r>
              <w:rPr>
                <w:rFonts w:hint="cs"/>
                <w:rtl/>
              </w:rPr>
              <w:t>14</w:t>
            </w:r>
          </w:p>
        </w:tc>
        <w:tc>
          <w:tcPr>
            <w:tcW w:w="1849" w:type="dxa"/>
            <w:shd w:val="clear" w:color="auto" w:fill="auto"/>
          </w:tcPr>
          <w:p w:rsidR="00543B9A" w:rsidRDefault="00543B9A" w:rsidP="00CD50BC">
            <w:pPr>
              <w:jc w:val="center"/>
              <w:rPr>
                <w:rFonts w:hint="cs"/>
                <w:rtl/>
              </w:rPr>
            </w:pPr>
          </w:p>
          <w:p w:rsidR="00CD50BC" w:rsidRDefault="00CD50BC" w:rsidP="00CD50BC">
            <w:pPr>
              <w:jc w:val="center"/>
              <w:rPr>
                <w:rFonts w:hint="cs"/>
                <w:rtl/>
              </w:rPr>
            </w:pPr>
            <w:r>
              <w:rPr>
                <w:rFonts w:hint="cs"/>
                <w:rtl/>
              </w:rPr>
              <w:t>فوق روان کننده</w:t>
            </w:r>
            <w:r w:rsidR="00204A2C">
              <w:t xml:space="preserve"> </w:t>
            </w:r>
            <w:r w:rsidR="00204A2C">
              <w:t>kg/m3</w:t>
            </w:r>
          </w:p>
          <w:p w:rsidR="00CD50BC" w:rsidRDefault="00CD50BC" w:rsidP="00CD50BC">
            <w:pPr>
              <w:jc w:val="center"/>
              <w:rPr>
                <w:rFonts w:hint="cs"/>
                <w:rtl/>
              </w:rPr>
            </w:pPr>
          </w:p>
        </w:tc>
      </w:tr>
      <w:tr w:rsidR="00543B9A" w:rsidTr="001A18CD">
        <w:trPr>
          <w:trHeight w:val="603"/>
        </w:trPr>
        <w:tc>
          <w:tcPr>
            <w:tcW w:w="1848" w:type="dxa"/>
            <w:shd w:val="clear" w:color="auto" w:fill="auto"/>
          </w:tcPr>
          <w:p w:rsidR="00543B9A" w:rsidRDefault="00543B9A" w:rsidP="00204A2C">
            <w:pPr>
              <w:jc w:val="center"/>
              <w:rPr>
                <w:rFonts w:hint="cs"/>
                <w:rtl/>
              </w:rPr>
            </w:pPr>
          </w:p>
          <w:p w:rsidR="00204A2C" w:rsidRDefault="00204A2C" w:rsidP="00204A2C">
            <w:pPr>
              <w:jc w:val="center"/>
              <w:rPr>
                <w:rFonts w:hint="cs"/>
                <w:rtl/>
              </w:rPr>
            </w:pPr>
            <w:r>
              <w:rPr>
                <w:rFonts w:hint="cs"/>
                <w:rtl/>
              </w:rPr>
              <w:t>2383</w:t>
            </w:r>
          </w:p>
        </w:tc>
        <w:tc>
          <w:tcPr>
            <w:tcW w:w="1848" w:type="dxa"/>
            <w:shd w:val="clear" w:color="auto" w:fill="auto"/>
          </w:tcPr>
          <w:p w:rsidR="00543B9A" w:rsidRDefault="00543B9A" w:rsidP="00204A2C">
            <w:pPr>
              <w:jc w:val="center"/>
              <w:rPr>
                <w:rFonts w:hint="cs"/>
                <w:rtl/>
              </w:rPr>
            </w:pPr>
          </w:p>
          <w:p w:rsidR="00204A2C" w:rsidRDefault="00204A2C" w:rsidP="00204A2C">
            <w:pPr>
              <w:jc w:val="center"/>
              <w:rPr>
                <w:rFonts w:hint="cs"/>
                <w:rtl/>
              </w:rPr>
            </w:pPr>
            <w:r>
              <w:rPr>
                <w:rFonts w:hint="cs"/>
                <w:rtl/>
              </w:rPr>
              <w:t>2402</w:t>
            </w:r>
          </w:p>
        </w:tc>
        <w:tc>
          <w:tcPr>
            <w:tcW w:w="1848" w:type="dxa"/>
            <w:shd w:val="clear" w:color="auto" w:fill="auto"/>
          </w:tcPr>
          <w:p w:rsidR="00543B9A" w:rsidRDefault="00543B9A" w:rsidP="00204A2C">
            <w:pPr>
              <w:jc w:val="center"/>
              <w:rPr>
                <w:rFonts w:hint="cs"/>
                <w:rtl/>
              </w:rPr>
            </w:pPr>
          </w:p>
          <w:p w:rsidR="00204A2C" w:rsidRDefault="00204A2C" w:rsidP="00204A2C">
            <w:pPr>
              <w:jc w:val="center"/>
              <w:rPr>
                <w:rFonts w:hint="cs"/>
                <w:rtl/>
              </w:rPr>
            </w:pPr>
            <w:r>
              <w:rPr>
                <w:rFonts w:hint="cs"/>
                <w:rtl/>
              </w:rPr>
              <w:t>2424</w:t>
            </w:r>
          </w:p>
        </w:tc>
        <w:tc>
          <w:tcPr>
            <w:tcW w:w="1849" w:type="dxa"/>
            <w:shd w:val="clear" w:color="auto" w:fill="auto"/>
          </w:tcPr>
          <w:p w:rsidR="00543B9A" w:rsidRDefault="00543B9A" w:rsidP="00204A2C">
            <w:pPr>
              <w:jc w:val="center"/>
              <w:rPr>
                <w:rFonts w:hint="cs"/>
                <w:rtl/>
              </w:rPr>
            </w:pPr>
          </w:p>
          <w:p w:rsidR="00204A2C" w:rsidRDefault="00204A2C" w:rsidP="00204A2C">
            <w:pPr>
              <w:jc w:val="center"/>
              <w:rPr>
                <w:rFonts w:hint="cs"/>
                <w:rtl/>
              </w:rPr>
            </w:pPr>
            <w:r>
              <w:rPr>
                <w:rFonts w:hint="cs"/>
                <w:rtl/>
              </w:rPr>
              <w:t>2407</w:t>
            </w:r>
          </w:p>
        </w:tc>
        <w:tc>
          <w:tcPr>
            <w:tcW w:w="1849" w:type="dxa"/>
            <w:shd w:val="clear" w:color="auto" w:fill="auto"/>
          </w:tcPr>
          <w:p w:rsidR="00543B9A" w:rsidRDefault="00543B9A" w:rsidP="00CD50BC">
            <w:pPr>
              <w:jc w:val="center"/>
              <w:rPr>
                <w:rFonts w:hint="cs"/>
                <w:rtl/>
              </w:rPr>
            </w:pPr>
          </w:p>
          <w:p w:rsidR="00CD50BC" w:rsidRDefault="00CD50BC" w:rsidP="00CD50BC">
            <w:pPr>
              <w:jc w:val="center"/>
              <w:rPr>
                <w:rFonts w:hint="cs"/>
                <w:rtl/>
              </w:rPr>
            </w:pPr>
            <w:r>
              <w:rPr>
                <w:rFonts w:hint="cs"/>
                <w:rtl/>
              </w:rPr>
              <w:t xml:space="preserve">وزن مخصوص </w:t>
            </w:r>
            <w:r w:rsidR="00204A2C">
              <w:t>kg/m3</w:t>
            </w:r>
            <w:r>
              <w:rPr>
                <w:rFonts w:hint="cs"/>
                <w:rtl/>
              </w:rPr>
              <w:t>پلاستیک</w:t>
            </w:r>
          </w:p>
        </w:tc>
      </w:tr>
      <w:tr w:rsidR="00543B9A" w:rsidTr="001A18CD">
        <w:trPr>
          <w:trHeight w:val="603"/>
        </w:trPr>
        <w:tc>
          <w:tcPr>
            <w:tcW w:w="1848" w:type="dxa"/>
            <w:shd w:val="clear" w:color="auto" w:fill="auto"/>
          </w:tcPr>
          <w:p w:rsidR="00543B9A" w:rsidRDefault="00543B9A" w:rsidP="00204A2C">
            <w:pPr>
              <w:jc w:val="center"/>
              <w:rPr>
                <w:rFonts w:hint="cs"/>
                <w:rtl/>
              </w:rPr>
            </w:pPr>
          </w:p>
          <w:p w:rsidR="00204A2C" w:rsidRDefault="00204A2C" w:rsidP="00204A2C">
            <w:pPr>
              <w:jc w:val="center"/>
              <w:rPr>
                <w:rFonts w:hint="cs"/>
                <w:rtl/>
              </w:rPr>
            </w:pPr>
            <w:r>
              <w:rPr>
                <w:rFonts w:hint="cs"/>
                <w:rtl/>
              </w:rPr>
              <w:t>117.5</w:t>
            </w:r>
          </w:p>
        </w:tc>
        <w:tc>
          <w:tcPr>
            <w:tcW w:w="1848" w:type="dxa"/>
            <w:shd w:val="clear" w:color="auto" w:fill="auto"/>
          </w:tcPr>
          <w:p w:rsidR="00543B9A" w:rsidRDefault="00543B9A" w:rsidP="00204A2C">
            <w:pPr>
              <w:jc w:val="center"/>
              <w:rPr>
                <w:rFonts w:hint="cs"/>
                <w:rtl/>
              </w:rPr>
            </w:pPr>
          </w:p>
          <w:p w:rsidR="00204A2C" w:rsidRDefault="00204A2C" w:rsidP="00204A2C">
            <w:pPr>
              <w:jc w:val="center"/>
              <w:rPr>
                <w:rFonts w:hint="cs"/>
                <w:rtl/>
              </w:rPr>
            </w:pPr>
            <w:r>
              <w:rPr>
                <w:rFonts w:hint="cs"/>
                <w:rtl/>
              </w:rPr>
              <w:t>113.9</w:t>
            </w:r>
          </w:p>
        </w:tc>
        <w:tc>
          <w:tcPr>
            <w:tcW w:w="1848" w:type="dxa"/>
            <w:shd w:val="clear" w:color="auto" w:fill="auto"/>
          </w:tcPr>
          <w:p w:rsidR="00543B9A" w:rsidRDefault="00543B9A" w:rsidP="00204A2C">
            <w:pPr>
              <w:jc w:val="center"/>
              <w:rPr>
                <w:rFonts w:hint="cs"/>
                <w:rtl/>
              </w:rPr>
            </w:pPr>
          </w:p>
          <w:p w:rsidR="00204A2C" w:rsidRDefault="00204A2C" w:rsidP="00204A2C">
            <w:pPr>
              <w:jc w:val="center"/>
              <w:rPr>
                <w:rFonts w:hint="cs"/>
                <w:rtl/>
              </w:rPr>
            </w:pPr>
            <w:r>
              <w:rPr>
                <w:rFonts w:hint="cs"/>
                <w:rtl/>
              </w:rPr>
              <w:t>105.7</w:t>
            </w:r>
          </w:p>
        </w:tc>
        <w:tc>
          <w:tcPr>
            <w:tcW w:w="1849" w:type="dxa"/>
            <w:shd w:val="clear" w:color="auto" w:fill="auto"/>
          </w:tcPr>
          <w:p w:rsidR="00543B9A" w:rsidRDefault="00543B9A" w:rsidP="00204A2C">
            <w:pPr>
              <w:jc w:val="center"/>
              <w:rPr>
                <w:rFonts w:hint="cs"/>
                <w:rtl/>
              </w:rPr>
            </w:pPr>
          </w:p>
          <w:p w:rsidR="00204A2C" w:rsidRDefault="00204A2C" w:rsidP="00204A2C">
            <w:pPr>
              <w:jc w:val="center"/>
              <w:rPr>
                <w:rFonts w:hint="cs"/>
                <w:rtl/>
              </w:rPr>
            </w:pPr>
            <w:r>
              <w:rPr>
                <w:rFonts w:hint="cs"/>
                <w:rtl/>
              </w:rPr>
              <w:t>86.7</w:t>
            </w:r>
          </w:p>
        </w:tc>
        <w:tc>
          <w:tcPr>
            <w:tcW w:w="1849" w:type="dxa"/>
            <w:shd w:val="clear" w:color="auto" w:fill="auto"/>
          </w:tcPr>
          <w:p w:rsidR="00543B9A" w:rsidRDefault="00543B9A" w:rsidP="00CD50BC">
            <w:pPr>
              <w:jc w:val="center"/>
              <w:rPr>
                <w:rFonts w:hint="cs"/>
                <w:rtl/>
              </w:rPr>
            </w:pPr>
          </w:p>
          <w:p w:rsidR="00CD50BC" w:rsidRDefault="00CD50BC" w:rsidP="00CD50BC">
            <w:pPr>
              <w:jc w:val="center"/>
              <w:rPr>
                <w:rFonts w:hint="cs"/>
                <w:rtl/>
              </w:rPr>
            </w:pPr>
            <w:r>
              <w:rPr>
                <w:rFonts w:hint="cs"/>
                <w:rtl/>
              </w:rPr>
              <w:t>مقاومت 28 روزه</w:t>
            </w:r>
          </w:p>
          <w:p w:rsidR="00CD50BC" w:rsidRDefault="00204A2C" w:rsidP="00CD50BC">
            <w:pPr>
              <w:jc w:val="center"/>
            </w:pPr>
            <w:proofErr w:type="spellStart"/>
            <w:r>
              <w:t>Mpa</w:t>
            </w:r>
            <w:proofErr w:type="spellEnd"/>
          </w:p>
        </w:tc>
      </w:tr>
      <w:tr w:rsidR="00543B9A" w:rsidTr="001A18CD">
        <w:trPr>
          <w:trHeight w:val="603"/>
        </w:trPr>
        <w:tc>
          <w:tcPr>
            <w:tcW w:w="1848" w:type="dxa"/>
            <w:shd w:val="clear" w:color="auto" w:fill="auto"/>
          </w:tcPr>
          <w:p w:rsidR="00543B9A" w:rsidRDefault="00543B9A" w:rsidP="00204A2C">
            <w:pPr>
              <w:jc w:val="center"/>
              <w:rPr>
                <w:rFonts w:hint="cs"/>
                <w:rtl/>
              </w:rPr>
            </w:pPr>
          </w:p>
          <w:p w:rsidR="00204A2C" w:rsidRDefault="00204A2C" w:rsidP="00204A2C">
            <w:pPr>
              <w:jc w:val="center"/>
              <w:rPr>
                <w:rFonts w:hint="cs"/>
                <w:rtl/>
              </w:rPr>
            </w:pPr>
            <w:r>
              <w:rPr>
                <w:rFonts w:hint="cs"/>
                <w:rtl/>
              </w:rPr>
              <w:t>70</w:t>
            </w:r>
          </w:p>
        </w:tc>
        <w:tc>
          <w:tcPr>
            <w:tcW w:w="1848" w:type="dxa"/>
            <w:shd w:val="clear" w:color="auto" w:fill="auto"/>
          </w:tcPr>
          <w:p w:rsidR="00543B9A" w:rsidRDefault="00543B9A" w:rsidP="00204A2C">
            <w:pPr>
              <w:jc w:val="center"/>
              <w:rPr>
                <w:rFonts w:hint="cs"/>
                <w:rtl/>
              </w:rPr>
            </w:pPr>
          </w:p>
          <w:p w:rsidR="00204A2C" w:rsidRDefault="00204A2C" w:rsidP="00204A2C">
            <w:pPr>
              <w:jc w:val="center"/>
              <w:rPr>
                <w:rFonts w:hint="cs"/>
                <w:rtl/>
              </w:rPr>
            </w:pPr>
            <w:r>
              <w:rPr>
                <w:rFonts w:hint="cs"/>
                <w:rtl/>
              </w:rPr>
              <w:t>150</w:t>
            </w:r>
          </w:p>
        </w:tc>
        <w:tc>
          <w:tcPr>
            <w:tcW w:w="1848" w:type="dxa"/>
            <w:shd w:val="clear" w:color="auto" w:fill="auto"/>
          </w:tcPr>
          <w:p w:rsidR="00543B9A" w:rsidRDefault="00543B9A" w:rsidP="00204A2C">
            <w:pPr>
              <w:jc w:val="center"/>
              <w:rPr>
                <w:rFonts w:hint="cs"/>
                <w:rtl/>
              </w:rPr>
            </w:pPr>
          </w:p>
          <w:p w:rsidR="00204A2C" w:rsidRDefault="00204A2C" w:rsidP="00204A2C">
            <w:pPr>
              <w:jc w:val="center"/>
              <w:rPr>
                <w:rFonts w:hint="cs"/>
                <w:rtl/>
              </w:rPr>
            </w:pPr>
            <w:r>
              <w:rPr>
                <w:rFonts w:hint="cs"/>
                <w:rtl/>
              </w:rPr>
              <w:t>200</w:t>
            </w:r>
          </w:p>
        </w:tc>
        <w:tc>
          <w:tcPr>
            <w:tcW w:w="1849" w:type="dxa"/>
            <w:shd w:val="clear" w:color="auto" w:fill="auto"/>
          </w:tcPr>
          <w:p w:rsidR="00543B9A" w:rsidRDefault="00543B9A" w:rsidP="00204A2C">
            <w:pPr>
              <w:jc w:val="center"/>
              <w:rPr>
                <w:rFonts w:hint="cs"/>
                <w:rtl/>
              </w:rPr>
            </w:pPr>
          </w:p>
          <w:p w:rsidR="00204A2C" w:rsidRDefault="00204A2C" w:rsidP="00204A2C">
            <w:pPr>
              <w:jc w:val="center"/>
              <w:rPr>
                <w:rFonts w:hint="cs"/>
                <w:rtl/>
              </w:rPr>
            </w:pPr>
            <w:r>
              <w:rPr>
                <w:rFonts w:hint="cs"/>
                <w:rtl/>
              </w:rPr>
              <w:t>100</w:t>
            </w:r>
          </w:p>
        </w:tc>
        <w:tc>
          <w:tcPr>
            <w:tcW w:w="1849" w:type="dxa"/>
            <w:shd w:val="clear" w:color="auto" w:fill="auto"/>
          </w:tcPr>
          <w:p w:rsidR="00543B9A" w:rsidRDefault="00543B9A" w:rsidP="00CD50BC">
            <w:pPr>
              <w:jc w:val="center"/>
              <w:rPr>
                <w:rFonts w:hint="cs"/>
                <w:rtl/>
              </w:rPr>
            </w:pPr>
          </w:p>
          <w:p w:rsidR="00CD50BC" w:rsidRDefault="00CD50BC" w:rsidP="00CD50BC">
            <w:pPr>
              <w:jc w:val="center"/>
              <w:rPr>
                <w:rFonts w:hint="cs"/>
                <w:rtl/>
              </w:rPr>
            </w:pPr>
            <w:r>
              <w:rPr>
                <w:rFonts w:hint="cs"/>
                <w:rtl/>
              </w:rPr>
              <w:t>اسلامپ</w:t>
            </w:r>
          </w:p>
          <w:p w:rsidR="00CD50BC" w:rsidRDefault="00CD50BC" w:rsidP="00CD50BC">
            <w:pPr>
              <w:jc w:val="center"/>
              <w:rPr>
                <w:rFonts w:hint="cs"/>
                <w:rtl/>
              </w:rPr>
            </w:pPr>
          </w:p>
        </w:tc>
      </w:tr>
    </w:tbl>
    <w:p w:rsidR="005A0B84" w:rsidRDefault="005A0B84" w:rsidP="005A0B84">
      <w:pPr>
        <w:rPr>
          <w:rFonts w:hint="cs"/>
          <w:rtl/>
        </w:rPr>
      </w:pPr>
    </w:p>
    <w:p w:rsidR="005A0B84" w:rsidRDefault="005A0B84" w:rsidP="005A0B84">
      <w:pPr>
        <w:rPr>
          <w:rFonts w:hint="cs"/>
          <w:rtl/>
        </w:rPr>
      </w:pPr>
      <w:r>
        <w:rPr>
          <w:rFonts w:hint="cs"/>
          <w:rtl/>
        </w:rPr>
        <w:t xml:space="preserve">روش ازمایش : </w:t>
      </w:r>
    </w:p>
    <w:p w:rsidR="005A0B84" w:rsidRPr="00F70EAB" w:rsidRDefault="005A0B84" w:rsidP="00F70EAB">
      <w:pPr>
        <w:jc w:val="both"/>
        <w:rPr>
          <w:rFonts w:hint="cs"/>
          <w:sz w:val="28"/>
          <w:szCs w:val="28"/>
          <w:rtl/>
        </w:rPr>
      </w:pPr>
      <w:r w:rsidRPr="00F70EAB">
        <w:rPr>
          <w:rFonts w:hint="cs"/>
          <w:sz w:val="28"/>
          <w:szCs w:val="28"/>
          <w:rtl/>
        </w:rPr>
        <w:t>از روش مقاوت در برابر نفوذ(</w:t>
      </w:r>
      <w:r w:rsidRPr="00F70EAB">
        <w:rPr>
          <w:sz w:val="28"/>
          <w:szCs w:val="28"/>
        </w:rPr>
        <w:t>ASTM c403</w:t>
      </w:r>
      <w:r w:rsidRPr="00F70EAB">
        <w:rPr>
          <w:rFonts w:hint="cs"/>
          <w:sz w:val="28"/>
          <w:szCs w:val="28"/>
          <w:rtl/>
        </w:rPr>
        <w:t>) برای تعیین زمان های گیرش اولیه و نهایی بتن استفاده شده است . در</w:t>
      </w:r>
      <w:r w:rsidR="00B40DF0" w:rsidRPr="00F70EAB">
        <w:rPr>
          <w:rFonts w:hint="cs"/>
          <w:sz w:val="28"/>
          <w:szCs w:val="28"/>
          <w:rtl/>
        </w:rPr>
        <w:t xml:space="preserve">این روش ابتدا بتن ساخته میشود و سپس با استفاده از الک نمره4 سنگدانه های درشت ان جدا میشوند این ازمایش براساس مقدارهای در برابر نفوذ یک میله فولادی به اندازه </w:t>
      </w:r>
      <w:r w:rsidR="00B40DF0" w:rsidRPr="00F70EAB">
        <w:rPr>
          <w:sz w:val="28"/>
          <w:szCs w:val="28"/>
        </w:rPr>
        <w:t>25t2</w:t>
      </w:r>
      <w:r w:rsidR="00B40DF0" w:rsidRPr="00F70EAB">
        <w:rPr>
          <w:rFonts w:hint="cs"/>
          <w:sz w:val="28"/>
          <w:szCs w:val="28"/>
          <w:rtl/>
        </w:rPr>
        <w:t xml:space="preserve"> </w:t>
      </w:r>
      <w:r w:rsidR="00B40DF0" w:rsidRPr="00F70EAB">
        <w:rPr>
          <w:rFonts w:hint="cs"/>
          <w:sz w:val="28"/>
          <w:szCs w:val="28"/>
          <w:rtl/>
        </w:rPr>
        <w:lastRenderedPageBreak/>
        <w:t>در خمیر استوار میباشد.طبق تعریف وقتی مقدار مقاومت خمیر در برابر نفوذ به ترتیب به 3.5 الی27.6 مگاپاسکال برسند گیرش اولیه و نهایی حاصل میشود. البته زمان های گیرش را میتوان با استفاده از روش سوزن و مکات عنوان شده در ائین نامه انگلستان (</w:t>
      </w:r>
      <w:r w:rsidR="00B40DF0" w:rsidRPr="00F70EAB">
        <w:rPr>
          <w:sz w:val="28"/>
          <w:szCs w:val="28"/>
        </w:rPr>
        <w:t>BS4550</w:t>
      </w:r>
      <w:r w:rsidR="00B40DF0" w:rsidRPr="00F70EAB">
        <w:rPr>
          <w:rFonts w:hint="cs"/>
          <w:sz w:val="28"/>
          <w:szCs w:val="28"/>
          <w:rtl/>
        </w:rPr>
        <w:t>) ویا ایین نامه امریکا(</w:t>
      </w:r>
      <w:r w:rsidR="00B40DF0" w:rsidRPr="00F70EAB">
        <w:rPr>
          <w:sz w:val="28"/>
          <w:szCs w:val="28"/>
        </w:rPr>
        <w:t>ASTMc191</w:t>
      </w:r>
      <w:r w:rsidR="00B40DF0" w:rsidRPr="00F70EAB">
        <w:rPr>
          <w:rFonts w:hint="cs"/>
          <w:sz w:val="28"/>
          <w:szCs w:val="28"/>
          <w:rtl/>
        </w:rPr>
        <w:t xml:space="preserve">)نیز تعیین کرد اما روش فوق برای بتن چندان </w:t>
      </w:r>
      <w:r w:rsidR="00F70EAB" w:rsidRPr="00F70EAB">
        <w:rPr>
          <w:rFonts w:hint="cs"/>
          <w:sz w:val="28"/>
          <w:szCs w:val="28"/>
          <w:rtl/>
        </w:rPr>
        <w:t>مناسب نیست چرا که نسبت اب به مصالح سیمانی بکار رفته در این روش ها با این نسبت در بتن متفاوت است تنها روش استاندارد که در این تحقیق نیز استفاده شده روش مقاومت در برابر نفوذ است.</w:t>
      </w:r>
    </w:p>
    <w:p w:rsidR="00F70EAB" w:rsidRDefault="00F70EAB" w:rsidP="005A0B84">
      <w:pPr>
        <w:rPr>
          <w:rFonts w:hint="cs"/>
          <w:rtl/>
        </w:rPr>
      </w:pPr>
      <w:r>
        <w:rPr>
          <w:rFonts w:hint="cs"/>
          <w:rtl/>
        </w:rPr>
        <w:t>نتیجه:</w:t>
      </w:r>
    </w:p>
    <w:p w:rsidR="00F70EAB" w:rsidRDefault="00F70EAB" w:rsidP="005A0B84">
      <w:pPr>
        <w:rPr>
          <w:rFonts w:hint="cs"/>
          <w:rtl/>
        </w:rPr>
      </w:pPr>
    </w:p>
    <w:p w:rsidR="00F70EAB" w:rsidRDefault="00F70EAB" w:rsidP="005A0B84">
      <w:pPr>
        <w:rPr>
          <w:rFonts w:hint="cs"/>
          <w:rtl/>
        </w:rPr>
      </w:pPr>
      <w:r>
        <w:rPr>
          <w:rFonts w:hint="cs"/>
          <w:rtl/>
        </w:rPr>
        <w:t>نتیجه:</w:t>
      </w:r>
    </w:p>
    <w:tbl>
      <w:tblPr>
        <w:tblStyle w:val="LightShading"/>
        <w:bidiVisual/>
        <w:tblW w:w="0" w:type="auto"/>
        <w:tblLook w:val="04A0" w:firstRow="1" w:lastRow="0" w:firstColumn="1" w:lastColumn="0" w:noHBand="0" w:noVBand="1"/>
      </w:tblPr>
      <w:tblGrid>
        <w:gridCol w:w="3047"/>
        <w:gridCol w:w="3048"/>
        <w:gridCol w:w="3048"/>
      </w:tblGrid>
      <w:tr w:rsidR="00F70EAB" w:rsidTr="001A18CD">
        <w:trPr>
          <w:cnfStyle w:val="100000000000" w:firstRow="1" w:lastRow="0" w:firstColumn="0" w:lastColumn="0" w:oddVBand="0" w:evenVBand="0" w:oddHBand="0"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3047" w:type="dxa"/>
          </w:tcPr>
          <w:p w:rsidR="00F70EAB" w:rsidRDefault="00F70EAB" w:rsidP="00F70EAB"/>
          <w:p w:rsidR="00F70EAB" w:rsidRDefault="00F70EAB" w:rsidP="00F70EAB">
            <w:r>
              <w:rPr>
                <w:rFonts w:cs="Arial" w:hint="cs"/>
                <w:rtl/>
              </w:rPr>
              <w:t>گیرش</w:t>
            </w:r>
            <w:r>
              <w:rPr>
                <w:rFonts w:cs="Arial"/>
                <w:rtl/>
              </w:rPr>
              <w:t xml:space="preserve"> </w:t>
            </w:r>
            <w:r>
              <w:rPr>
                <w:rFonts w:cs="Arial" w:hint="cs"/>
                <w:rtl/>
              </w:rPr>
              <w:t>نهایی</w:t>
            </w:r>
            <w:r>
              <w:rPr>
                <w:rFonts w:cs="Arial"/>
                <w:rtl/>
              </w:rPr>
              <w:t xml:space="preserve"> (</w:t>
            </w:r>
            <w:r>
              <w:rPr>
                <w:rFonts w:cs="Arial" w:hint="cs"/>
                <w:rtl/>
              </w:rPr>
              <w:t>ساعت</w:t>
            </w:r>
            <w:r>
              <w:rPr>
                <w:rFonts w:cs="Arial"/>
                <w:rtl/>
              </w:rPr>
              <w:t>)</w:t>
            </w:r>
            <w:r>
              <w:rPr>
                <w:rFonts w:cs="Arial"/>
                <w:rtl/>
              </w:rPr>
              <w:tab/>
            </w:r>
          </w:p>
          <w:p w:rsidR="00F70EAB" w:rsidRDefault="00F70EAB" w:rsidP="00F70EAB">
            <w:pPr>
              <w:rPr>
                <w:rFonts w:hint="cs"/>
                <w:rtl/>
              </w:rPr>
            </w:pPr>
          </w:p>
        </w:tc>
        <w:tc>
          <w:tcPr>
            <w:tcW w:w="3048" w:type="dxa"/>
          </w:tcPr>
          <w:p w:rsidR="00F70EAB" w:rsidRDefault="00F70EAB" w:rsidP="005A0B84">
            <w:pPr>
              <w:cnfStyle w:val="100000000000" w:firstRow="1" w:lastRow="0" w:firstColumn="0" w:lastColumn="0" w:oddVBand="0" w:evenVBand="0" w:oddHBand="0" w:evenHBand="0" w:firstRowFirstColumn="0" w:firstRowLastColumn="0" w:lastRowFirstColumn="0" w:lastRowLastColumn="0"/>
              <w:rPr>
                <w:rFonts w:cs="Arial" w:hint="cs"/>
                <w:rtl/>
              </w:rPr>
            </w:pPr>
          </w:p>
          <w:p w:rsidR="00F70EAB" w:rsidRDefault="00F70EAB" w:rsidP="005A0B84">
            <w:pPr>
              <w:cnfStyle w:val="100000000000" w:firstRow="1" w:lastRow="0" w:firstColumn="0" w:lastColumn="0" w:oddVBand="0" w:evenVBand="0" w:oddHBand="0" w:evenHBand="0" w:firstRowFirstColumn="0" w:firstRowLastColumn="0" w:lastRowFirstColumn="0" w:lastRowLastColumn="0"/>
              <w:rPr>
                <w:rFonts w:hint="cs"/>
                <w:rtl/>
              </w:rPr>
            </w:pPr>
            <w:r>
              <w:rPr>
                <w:rFonts w:cs="Arial" w:hint="cs"/>
                <w:rtl/>
              </w:rPr>
              <w:t>گیرش</w:t>
            </w:r>
            <w:r>
              <w:rPr>
                <w:rFonts w:cs="Arial"/>
                <w:rtl/>
              </w:rPr>
              <w:t xml:space="preserve"> </w:t>
            </w:r>
            <w:r>
              <w:rPr>
                <w:rFonts w:cs="Arial" w:hint="cs"/>
                <w:rtl/>
              </w:rPr>
              <w:t>اولیه</w:t>
            </w:r>
            <w:r>
              <w:rPr>
                <w:rFonts w:cs="Arial"/>
                <w:rtl/>
              </w:rPr>
              <w:t xml:space="preserve"> (</w:t>
            </w:r>
            <w:r>
              <w:rPr>
                <w:rFonts w:cs="Arial" w:hint="cs"/>
                <w:rtl/>
              </w:rPr>
              <w:t>ساعت</w:t>
            </w:r>
            <w:r>
              <w:rPr>
                <w:rFonts w:cs="Arial"/>
                <w:rtl/>
              </w:rPr>
              <w:t>)</w:t>
            </w:r>
          </w:p>
        </w:tc>
        <w:tc>
          <w:tcPr>
            <w:tcW w:w="3048" w:type="dxa"/>
          </w:tcPr>
          <w:p w:rsidR="00F70EAB" w:rsidRDefault="00F70EAB" w:rsidP="005A0B84">
            <w:pPr>
              <w:cnfStyle w:val="100000000000" w:firstRow="1" w:lastRow="0" w:firstColumn="0" w:lastColumn="0" w:oddVBand="0" w:evenVBand="0" w:oddHBand="0" w:evenHBand="0" w:firstRowFirstColumn="0" w:firstRowLastColumn="0" w:lastRowFirstColumn="0" w:lastRowLastColumn="0"/>
              <w:rPr>
                <w:rFonts w:cs="Arial" w:hint="cs"/>
                <w:rtl/>
              </w:rPr>
            </w:pPr>
          </w:p>
          <w:p w:rsidR="00F70EAB" w:rsidRDefault="00F70EAB" w:rsidP="005A0B84">
            <w:pPr>
              <w:cnfStyle w:val="100000000000" w:firstRow="1" w:lastRow="0" w:firstColumn="0" w:lastColumn="0" w:oddVBand="0" w:evenVBand="0" w:oddHBand="0" w:evenHBand="0" w:firstRowFirstColumn="0" w:firstRowLastColumn="0" w:lastRowFirstColumn="0" w:lastRowLastColumn="0"/>
              <w:rPr>
                <w:rFonts w:hint="cs"/>
                <w:rtl/>
              </w:rPr>
            </w:pPr>
            <w:r>
              <w:rPr>
                <w:rFonts w:cs="Arial" w:hint="cs"/>
                <w:rtl/>
              </w:rPr>
              <w:t>مخلوط</w:t>
            </w:r>
          </w:p>
        </w:tc>
      </w:tr>
      <w:tr w:rsidR="00F70EAB" w:rsidTr="001A18CD">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3047" w:type="dxa"/>
          </w:tcPr>
          <w:p w:rsidR="00F70EAB" w:rsidRDefault="00F70EAB" w:rsidP="00F70EAB">
            <w:pPr>
              <w:jc w:val="center"/>
              <w:rPr>
                <w:rFonts w:hint="cs"/>
                <w:rtl/>
              </w:rPr>
            </w:pPr>
          </w:p>
          <w:p w:rsidR="00F70EAB" w:rsidRDefault="00F70EAB" w:rsidP="00F70EAB">
            <w:pPr>
              <w:jc w:val="center"/>
              <w:rPr>
                <w:rFonts w:hint="cs"/>
                <w:rtl/>
              </w:rPr>
            </w:pPr>
            <w:r>
              <w:rPr>
                <w:rFonts w:hint="cs"/>
                <w:rtl/>
              </w:rPr>
              <w:t>7.674</w:t>
            </w:r>
          </w:p>
        </w:tc>
        <w:tc>
          <w:tcPr>
            <w:tcW w:w="3048" w:type="dxa"/>
          </w:tcPr>
          <w:p w:rsidR="00F70EAB" w:rsidRDefault="00F70EAB" w:rsidP="00F70EAB">
            <w:pPr>
              <w:jc w:val="center"/>
              <w:cnfStyle w:val="000000100000" w:firstRow="0" w:lastRow="0" w:firstColumn="0" w:lastColumn="0" w:oddVBand="0" w:evenVBand="0" w:oddHBand="1" w:evenHBand="0" w:firstRowFirstColumn="0" w:firstRowLastColumn="0" w:lastRowFirstColumn="0" w:lastRowLastColumn="0"/>
              <w:rPr>
                <w:rFonts w:hint="cs"/>
                <w:rtl/>
              </w:rPr>
            </w:pPr>
          </w:p>
          <w:p w:rsidR="00F70EAB" w:rsidRDefault="00F70EAB" w:rsidP="00F70EAB">
            <w:pPr>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4.994</w:t>
            </w:r>
          </w:p>
        </w:tc>
        <w:tc>
          <w:tcPr>
            <w:tcW w:w="3048" w:type="dxa"/>
          </w:tcPr>
          <w:p w:rsidR="00F70EAB" w:rsidRDefault="00F70EAB" w:rsidP="005A0B84">
            <w:pPr>
              <w:cnfStyle w:val="000000100000" w:firstRow="0" w:lastRow="0" w:firstColumn="0" w:lastColumn="0" w:oddVBand="0" w:evenVBand="0" w:oddHBand="1" w:evenHBand="0" w:firstRowFirstColumn="0" w:firstRowLastColumn="0" w:lastRowFirstColumn="0" w:lastRowLastColumn="0"/>
              <w:rPr>
                <w:rFonts w:hint="cs"/>
                <w:rtl/>
              </w:rPr>
            </w:pPr>
          </w:p>
          <w:p w:rsidR="00F70EAB" w:rsidRDefault="00F70EAB" w:rsidP="005A0B84">
            <w:pPr>
              <w:cnfStyle w:val="000000100000" w:firstRow="0" w:lastRow="0" w:firstColumn="0" w:lastColumn="0" w:oddVBand="0" w:evenVBand="0" w:oddHBand="1" w:evenHBand="0" w:firstRowFirstColumn="0" w:firstRowLastColumn="0" w:lastRowFirstColumn="0" w:lastRowLastColumn="0"/>
              <w:rPr>
                <w:rFonts w:hint="cs"/>
                <w:rtl/>
              </w:rPr>
            </w:pPr>
            <w:r>
              <w:rPr>
                <w:rFonts w:hint="cs"/>
                <w:rtl/>
              </w:rPr>
              <w:t>بتن بدون میکروسیلیس</w:t>
            </w:r>
          </w:p>
        </w:tc>
      </w:tr>
      <w:tr w:rsidR="00F70EAB" w:rsidTr="001A18CD">
        <w:trPr>
          <w:trHeight w:val="645"/>
        </w:trPr>
        <w:tc>
          <w:tcPr>
            <w:cnfStyle w:val="001000000000" w:firstRow="0" w:lastRow="0" w:firstColumn="1" w:lastColumn="0" w:oddVBand="0" w:evenVBand="0" w:oddHBand="0" w:evenHBand="0" w:firstRowFirstColumn="0" w:firstRowLastColumn="0" w:lastRowFirstColumn="0" w:lastRowLastColumn="0"/>
            <w:tcW w:w="3047" w:type="dxa"/>
          </w:tcPr>
          <w:p w:rsidR="00F70EAB" w:rsidRDefault="00F70EAB" w:rsidP="00F70EAB">
            <w:pPr>
              <w:jc w:val="center"/>
              <w:rPr>
                <w:rFonts w:hint="cs"/>
                <w:rtl/>
              </w:rPr>
            </w:pPr>
          </w:p>
          <w:p w:rsidR="00F70EAB" w:rsidRDefault="00F70EAB" w:rsidP="00F70EAB">
            <w:pPr>
              <w:jc w:val="center"/>
              <w:rPr>
                <w:rFonts w:hint="cs"/>
                <w:rtl/>
              </w:rPr>
            </w:pPr>
            <w:r>
              <w:rPr>
                <w:rFonts w:hint="cs"/>
                <w:rtl/>
              </w:rPr>
              <w:t>8.46</w:t>
            </w:r>
          </w:p>
        </w:tc>
        <w:tc>
          <w:tcPr>
            <w:tcW w:w="3048" w:type="dxa"/>
          </w:tcPr>
          <w:p w:rsidR="00F70EAB" w:rsidRDefault="00F70EAB" w:rsidP="00F70EAB">
            <w:pPr>
              <w:jc w:val="center"/>
              <w:cnfStyle w:val="000000000000" w:firstRow="0" w:lastRow="0" w:firstColumn="0" w:lastColumn="0" w:oddVBand="0" w:evenVBand="0" w:oddHBand="0" w:evenHBand="0" w:firstRowFirstColumn="0" w:firstRowLastColumn="0" w:lastRowFirstColumn="0" w:lastRowLastColumn="0"/>
              <w:rPr>
                <w:rFonts w:hint="cs"/>
                <w:rtl/>
              </w:rPr>
            </w:pPr>
          </w:p>
          <w:p w:rsidR="00F70EAB" w:rsidRDefault="00F70EAB" w:rsidP="00F70EAB">
            <w:pPr>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6.309</w:t>
            </w:r>
          </w:p>
        </w:tc>
        <w:tc>
          <w:tcPr>
            <w:tcW w:w="3048" w:type="dxa"/>
          </w:tcPr>
          <w:p w:rsidR="00F70EAB" w:rsidRDefault="00F70EAB" w:rsidP="005A0B84">
            <w:pPr>
              <w:cnfStyle w:val="000000000000" w:firstRow="0" w:lastRow="0" w:firstColumn="0" w:lastColumn="0" w:oddVBand="0" w:evenVBand="0" w:oddHBand="0" w:evenHBand="0" w:firstRowFirstColumn="0" w:firstRowLastColumn="0" w:lastRowFirstColumn="0" w:lastRowLastColumn="0"/>
              <w:rPr>
                <w:rFonts w:hint="cs"/>
                <w:rtl/>
              </w:rPr>
            </w:pPr>
          </w:p>
          <w:p w:rsidR="00F70EAB" w:rsidRDefault="00F70EAB" w:rsidP="005A0B84">
            <w:pPr>
              <w:cnfStyle w:val="000000000000" w:firstRow="0" w:lastRow="0" w:firstColumn="0" w:lastColumn="0" w:oddVBand="0" w:evenVBand="0" w:oddHBand="0" w:evenHBand="0" w:firstRowFirstColumn="0" w:firstRowLastColumn="0" w:lastRowFirstColumn="0" w:lastRowLastColumn="0"/>
              <w:rPr>
                <w:rFonts w:hint="cs"/>
                <w:rtl/>
              </w:rPr>
            </w:pPr>
            <w:r>
              <w:rPr>
                <w:rFonts w:hint="cs"/>
                <w:rtl/>
              </w:rPr>
              <w:t>بتن دارای 5% میکروسیلیس</w:t>
            </w:r>
          </w:p>
        </w:tc>
      </w:tr>
      <w:tr w:rsidR="00F70EAB" w:rsidTr="001A18CD">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3047" w:type="dxa"/>
          </w:tcPr>
          <w:p w:rsidR="00F70EAB" w:rsidRDefault="00F70EAB" w:rsidP="00F70EAB">
            <w:pPr>
              <w:jc w:val="center"/>
              <w:rPr>
                <w:rFonts w:hint="cs"/>
                <w:rtl/>
              </w:rPr>
            </w:pPr>
          </w:p>
          <w:p w:rsidR="00F70EAB" w:rsidRDefault="00F70EAB" w:rsidP="00F70EAB">
            <w:pPr>
              <w:jc w:val="center"/>
              <w:rPr>
                <w:rFonts w:hint="cs"/>
                <w:rtl/>
              </w:rPr>
            </w:pPr>
            <w:r>
              <w:rPr>
                <w:rFonts w:hint="cs"/>
                <w:rtl/>
              </w:rPr>
              <w:t>8.73</w:t>
            </w:r>
          </w:p>
        </w:tc>
        <w:tc>
          <w:tcPr>
            <w:tcW w:w="3048" w:type="dxa"/>
          </w:tcPr>
          <w:p w:rsidR="00F70EAB" w:rsidRDefault="00F70EAB" w:rsidP="00F70EAB">
            <w:pPr>
              <w:jc w:val="center"/>
              <w:cnfStyle w:val="000000100000" w:firstRow="0" w:lastRow="0" w:firstColumn="0" w:lastColumn="0" w:oddVBand="0" w:evenVBand="0" w:oddHBand="1" w:evenHBand="0" w:firstRowFirstColumn="0" w:firstRowLastColumn="0" w:lastRowFirstColumn="0" w:lastRowLastColumn="0"/>
              <w:rPr>
                <w:rFonts w:hint="cs"/>
                <w:rtl/>
              </w:rPr>
            </w:pPr>
          </w:p>
          <w:p w:rsidR="00F70EAB" w:rsidRDefault="00F70EAB" w:rsidP="00F70EAB">
            <w:pPr>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6.782</w:t>
            </w:r>
          </w:p>
        </w:tc>
        <w:tc>
          <w:tcPr>
            <w:tcW w:w="3048" w:type="dxa"/>
          </w:tcPr>
          <w:p w:rsidR="00F70EAB" w:rsidRDefault="00F70EAB" w:rsidP="005A0B84">
            <w:pPr>
              <w:cnfStyle w:val="000000100000" w:firstRow="0" w:lastRow="0" w:firstColumn="0" w:lastColumn="0" w:oddVBand="0" w:evenVBand="0" w:oddHBand="1" w:evenHBand="0" w:firstRowFirstColumn="0" w:firstRowLastColumn="0" w:lastRowFirstColumn="0" w:lastRowLastColumn="0"/>
              <w:rPr>
                <w:rFonts w:hint="cs"/>
                <w:rtl/>
              </w:rPr>
            </w:pPr>
          </w:p>
          <w:p w:rsidR="00F70EAB" w:rsidRDefault="00F70EAB" w:rsidP="005A0B84">
            <w:pPr>
              <w:cnfStyle w:val="000000100000" w:firstRow="0" w:lastRow="0" w:firstColumn="0" w:lastColumn="0" w:oddVBand="0" w:evenVBand="0" w:oddHBand="1" w:evenHBand="0" w:firstRowFirstColumn="0" w:firstRowLastColumn="0" w:lastRowFirstColumn="0" w:lastRowLastColumn="0"/>
              <w:rPr>
                <w:rFonts w:hint="cs"/>
                <w:rtl/>
              </w:rPr>
            </w:pPr>
            <w:r>
              <w:rPr>
                <w:rFonts w:hint="cs"/>
                <w:rtl/>
              </w:rPr>
              <w:t>بتن دارای 10% میکروسیلیس</w:t>
            </w:r>
          </w:p>
        </w:tc>
      </w:tr>
      <w:tr w:rsidR="00F70EAB" w:rsidTr="001A18CD">
        <w:trPr>
          <w:trHeight w:val="692"/>
        </w:trPr>
        <w:tc>
          <w:tcPr>
            <w:cnfStyle w:val="001000000000" w:firstRow="0" w:lastRow="0" w:firstColumn="1" w:lastColumn="0" w:oddVBand="0" w:evenVBand="0" w:oddHBand="0" w:evenHBand="0" w:firstRowFirstColumn="0" w:firstRowLastColumn="0" w:lastRowFirstColumn="0" w:lastRowLastColumn="0"/>
            <w:tcW w:w="3047" w:type="dxa"/>
          </w:tcPr>
          <w:p w:rsidR="00F70EAB" w:rsidRDefault="00F70EAB" w:rsidP="00F70EAB">
            <w:pPr>
              <w:jc w:val="center"/>
              <w:rPr>
                <w:rFonts w:hint="cs"/>
                <w:rtl/>
              </w:rPr>
            </w:pPr>
          </w:p>
          <w:p w:rsidR="00F70EAB" w:rsidRDefault="00F70EAB" w:rsidP="00F70EAB">
            <w:pPr>
              <w:jc w:val="center"/>
              <w:rPr>
                <w:rFonts w:hint="cs"/>
                <w:rtl/>
              </w:rPr>
            </w:pPr>
            <w:r>
              <w:rPr>
                <w:rFonts w:hint="cs"/>
                <w:rtl/>
              </w:rPr>
              <w:t>10.927</w:t>
            </w:r>
          </w:p>
        </w:tc>
        <w:tc>
          <w:tcPr>
            <w:tcW w:w="3048" w:type="dxa"/>
          </w:tcPr>
          <w:p w:rsidR="00F70EAB" w:rsidRDefault="00F70EAB" w:rsidP="00F70EAB">
            <w:pPr>
              <w:jc w:val="center"/>
              <w:cnfStyle w:val="000000000000" w:firstRow="0" w:lastRow="0" w:firstColumn="0" w:lastColumn="0" w:oddVBand="0" w:evenVBand="0" w:oddHBand="0" w:evenHBand="0" w:firstRowFirstColumn="0" w:firstRowLastColumn="0" w:lastRowFirstColumn="0" w:lastRowLastColumn="0"/>
              <w:rPr>
                <w:rFonts w:hint="cs"/>
                <w:rtl/>
              </w:rPr>
            </w:pPr>
          </w:p>
          <w:p w:rsidR="00F70EAB" w:rsidRDefault="00F70EAB" w:rsidP="00F70EAB">
            <w:pPr>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8.861</w:t>
            </w:r>
          </w:p>
        </w:tc>
        <w:tc>
          <w:tcPr>
            <w:tcW w:w="3048" w:type="dxa"/>
          </w:tcPr>
          <w:p w:rsidR="00F70EAB" w:rsidRDefault="00F70EAB" w:rsidP="005A0B84">
            <w:pPr>
              <w:cnfStyle w:val="000000000000" w:firstRow="0" w:lastRow="0" w:firstColumn="0" w:lastColumn="0" w:oddVBand="0" w:evenVBand="0" w:oddHBand="0" w:evenHBand="0" w:firstRowFirstColumn="0" w:firstRowLastColumn="0" w:lastRowFirstColumn="0" w:lastRowLastColumn="0"/>
              <w:rPr>
                <w:rFonts w:hint="cs"/>
                <w:rtl/>
              </w:rPr>
            </w:pPr>
          </w:p>
          <w:p w:rsidR="00F70EAB" w:rsidRDefault="00F70EAB" w:rsidP="005A0B84">
            <w:pPr>
              <w:cnfStyle w:val="000000000000" w:firstRow="0" w:lastRow="0" w:firstColumn="0" w:lastColumn="0" w:oddVBand="0" w:evenVBand="0" w:oddHBand="0" w:evenHBand="0" w:firstRowFirstColumn="0" w:firstRowLastColumn="0" w:lastRowFirstColumn="0" w:lastRowLastColumn="0"/>
              <w:rPr>
                <w:rFonts w:hint="cs"/>
                <w:rtl/>
              </w:rPr>
            </w:pPr>
            <w:r>
              <w:rPr>
                <w:rFonts w:hint="cs"/>
                <w:rtl/>
              </w:rPr>
              <w:t>بتن دارای 15% میکروسیلیس</w:t>
            </w:r>
          </w:p>
        </w:tc>
      </w:tr>
    </w:tbl>
    <w:p w:rsidR="00F70EAB" w:rsidRDefault="00F70EAB" w:rsidP="00F70EAB">
      <w:pPr>
        <w:jc w:val="center"/>
        <w:rPr>
          <w:rFonts w:hint="cs"/>
          <w:rtl/>
        </w:rPr>
      </w:pPr>
      <w:r>
        <w:rPr>
          <w:rFonts w:hint="cs"/>
          <w:rtl/>
        </w:rPr>
        <w:t>جدول مقدار گیرش های اولیه و نهایی مخلوط های متفاوت</w:t>
      </w:r>
      <w:bookmarkStart w:id="0" w:name="_GoBack"/>
      <w:bookmarkEnd w:id="0"/>
    </w:p>
    <w:sectPr w:rsidR="00F70EAB" w:rsidSect="00FA692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B9A"/>
    <w:rsid w:val="001A18CD"/>
    <w:rsid w:val="00204A2C"/>
    <w:rsid w:val="00543B9A"/>
    <w:rsid w:val="005A0B84"/>
    <w:rsid w:val="00B05CDA"/>
    <w:rsid w:val="00B40DF0"/>
    <w:rsid w:val="00CD50BC"/>
    <w:rsid w:val="00F70EAB"/>
    <w:rsid w:val="00FA692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3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A18C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3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A18C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D0BA4-C378-4A7E-9F31-8FE12B35D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2016-01-06T17:20:00Z</dcterms:created>
  <dcterms:modified xsi:type="dcterms:W3CDTF">2016-01-06T18:15:00Z</dcterms:modified>
</cp:coreProperties>
</file>